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7488"/>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简体" w:hAnsi="宋体" w:eastAsia="方正小标宋简体" w:cs="Times New Roman"/>
          <w:color w:val="auto"/>
          <w:kern w:val="2"/>
          <w:sz w:val="44"/>
          <w:szCs w:val="44"/>
          <w:lang w:val="en-US" w:eastAsia="zh-CN" w:bidi="ar-SA"/>
        </w:rPr>
      </w:pPr>
      <w:r>
        <w:rPr>
          <w:rFonts w:hint="eastAsia" w:ascii="方正小标宋简体" w:hAnsi="宋体" w:eastAsia="方正小标宋简体" w:cs="Times New Roman"/>
          <w:color w:val="auto"/>
          <w:kern w:val="2"/>
          <w:sz w:val="44"/>
          <w:szCs w:val="44"/>
          <w:lang w:val="en-US" w:eastAsia="zh-CN" w:bidi="ar-SA"/>
        </w:rPr>
        <w:t>湖南省房地产物业服务企业信用评分指标</w:t>
      </w:r>
    </w:p>
    <w:tbl>
      <w:tblPr>
        <w:tblStyle w:val="3"/>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7973"/>
        <w:gridCol w:w="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580" w:type="dxa"/>
            <w:gridSpan w:val="3"/>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良好信用记录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序列</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具体指标</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1</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企业在管项目20个以上计2分，10个以上计1分，5个以上计0.5分（以省级行政主管部门或受省级行政主管部门业务指导的行业组织信息化平台数据为准）</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9"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2</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企业在管项目合同建筑面积达到500万平米以上（含500万平米）的计3分；企业在管项目合同建筑面积达到300万平米以上（含300万平米）的计2分；企业在管项目合同建筑面积达到100万平米以上（含100万平米）的计1分（以省级行政主管部门或受省级行政主管部门业务指导的行业组织信息化平台数据为准）</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3</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经营项目获得行政主管部门指导的省、市级行业组织（或市级行政主管部门）评定为三星级以上物业服务项目的（五星级项目计5分/个，四星级项目计3分/个，三星级项目计2分/个）</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2</w:t>
            </w:r>
            <w:r>
              <w:rPr>
                <w:rFonts w:ascii="宋体" w:hAnsi="宋体" w:cs="宋体"/>
                <w:color w:val="auto"/>
                <w:kern w:val="0"/>
                <w:sz w:val="24"/>
                <w:szCs w:val="24"/>
              </w:rPr>
              <w:t>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4</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企业全部所管项目通过行政主管部门指导的省、市级行业组织（或市级行政主管部门）评定为智慧物业项目的计3分，通过2个及以上项目的计2分（以省级行政主管部门信息化平台数据为准）</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5</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公司建立健全党组织建设，公司成立了党组织，所辖物业服务项目均设立了党小组或支部的</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6</w:t>
            </w:r>
          </w:p>
        </w:tc>
        <w:tc>
          <w:tcPr>
            <w:tcW w:w="7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 xml:space="preserve">企业、经营项目获得住房和城乡建设部或其指导的国家级行业组织有关本行业表彰的 </w:t>
            </w:r>
          </w:p>
        </w:tc>
        <w:tc>
          <w:tcPr>
            <w:tcW w:w="8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7</w:t>
            </w:r>
          </w:p>
        </w:tc>
        <w:tc>
          <w:tcPr>
            <w:tcW w:w="7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企业、经营项目获得住房和城乡建设部所属机构（非法人单位）或其指导的国家级行业组织所属机构（非法人单位），及非本行业国家级行政部门有关本行业表彰的</w:t>
            </w:r>
          </w:p>
        </w:tc>
        <w:tc>
          <w:tcPr>
            <w:tcW w:w="8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8</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 xml:space="preserve">物业服务企业获得中国物业管理协会在全国物业服务企业综合实力排名100名以内（含100名），计5分；综合实力排名200名以内（含200名），计3分；综合实力排名500名以内（含500名），计1分  </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9</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企业主要负责人或项目负责人获得住房和城乡建设部及其指导的国家级行业组织有关本行业表彰的（最多计2人）</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10</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企业主要负责人或项目负责人获得住房和城乡建设部所属机构（非法人单位）或其指导的国家级行业组织所属机构（非法人单位），及非本行业国家级行政部门有关本行业表彰的（最多计2人）</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11</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企业、经营项目获得省级房地产行政主管部门或其指导的省级行业组织评定为省级本行业优秀榜样的</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12</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企业主要负责人获得省级房地产行政主管部门或其指导的省级行业组织评定为省级本行业优秀榜样的（最多计2人）</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13</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企业、经营项目获得省级房地产行政主管部门或其指导的省级行业组织有关本行业表彰的</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14</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企业、经营项目获得省级房地产行政主管部门所属机构（非法人单位）或其指导的省级行业组织所属机构(非法人单位)，及非本行业省级行政部门有关本行业表彰的</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15</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企业主要负责人或项目经理有获得“湖南省物业管理先进个人”称号的（最多计2人）</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16</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企业项目经理通过住宅类、办公类、商业类、学校类、工业类、医院类等6类执业水平考核的每人加1分（最多计10人）</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17</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企业主要负责人获得省级房地产行政主管部门或其指导的省级行业组织有关本行业表彰的（最多计2人）</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18</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企业主要负责人或项目负责人获得省级主管部门所属机构（非法人单位）或其指导的省级行业组织所属机构（非法人单位），及非本行业省级行政部门有关本行业表彰的（最多计2人）</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19</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企业、经营项目获得市州（省直管县市）房地产行政主管部门或其指导的市州（省直管县市）行业组织有关本行业表彰的</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20</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企业、经营项目获得市州（省直管县市）房地产行政主管部门所属机构（非法人单位）或其指导的市州（省直管县市）行业组织所属机构（非法人单位），及非本行业市级行政部门有关本行业表彰的</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21</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企业主要负责人或项目经理获得市州（省直管县市）房地产行政主管部门或其指导的市州（省直管县市）行业组织有关本行业表彰的（最多计2人）</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22</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主要负责人或项目经理获得市州（省管县）房地产行政主管部门所属机构（非法人单位），或其指导的市州（省管县）行业组织所属机构（非法人单位），及非本行业市级行政部门有关本行业表彰的（最多计2人）</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23</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企业、经营项目获得县市区房地产行政主管部门或其指导的县市区行业组织相关表彰的</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24</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企业、经营项目获得县市区房地产行政主管部门所属机构（非法人单位）或其指导的县市区行业组织所属机构（非法人单位）,及非本行业市级行政部门有关本行业表彰的有关本行业表彰的</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25</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企业主要负责人或项目经理获得县市区房地产行政主管部门或其指导的县市区行业组织有关本行业表彰的（最多计2人）</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26</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企业上年度被本行业国家级行政机关评定为本行业信用优秀的</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27</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企业上年度被本行业省级行政机关评定为本行业信用优秀的</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28</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 xml:space="preserve">企业上年度被本行业市州及县市区级行政机关评定为本行业信用优秀的 </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29</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企业主要负责人及项目经理被省级以上房地产行政主管部门或其指导的省级以上本行业组织评定为上年度信用优秀的（最多计2人）</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30</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企业主要负责人及项目经理被县市区级以上房地产行政主管部门评定为上年度信用优秀的（最多计2人）</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31</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color w:val="auto"/>
                <w:sz w:val="24"/>
                <w:szCs w:val="24"/>
              </w:rPr>
            </w:pPr>
            <w:r>
              <w:rPr>
                <w:rFonts w:hint="eastAsia"/>
                <w:color w:val="auto"/>
                <w:sz w:val="24"/>
                <w:szCs w:val="24"/>
              </w:rPr>
              <w:t>落实国家和省政府组织实施的应急救灾、扶贫帮困等重大工作部署方面获得表彰奖励的</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32</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color w:val="auto"/>
                <w:sz w:val="24"/>
                <w:szCs w:val="24"/>
              </w:rPr>
            </w:pPr>
            <w:r>
              <w:rPr>
                <w:rFonts w:hint="eastAsia"/>
                <w:color w:val="auto"/>
                <w:sz w:val="24"/>
                <w:szCs w:val="24"/>
              </w:rPr>
              <w:t>落实市州（省管县）政府组织实施的促进房地产行业发展、以及应急救灾、捐款助学、扶贫帮困等重大工作部署获得表彰奖励的</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33</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color w:val="auto"/>
                <w:sz w:val="24"/>
                <w:szCs w:val="24"/>
              </w:rPr>
            </w:pPr>
            <w:r>
              <w:rPr>
                <w:rFonts w:hint="eastAsia"/>
                <w:color w:val="auto"/>
                <w:sz w:val="24"/>
                <w:szCs w:val="24"/>
              </w:rPr>
              <w:t>落实县（市、区）政府组织实施的促进房地产行业发展、以及应急救灾、捐款助学、扶贫帮困等重大工作部署获得表彰奖励的</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s="宋体"/>
                <w:color w:val="auto"/>
                <w:kern w:val="0"/>
                <w:sz w:val="24"/>
                <w:szCs w:val="24"/>
              </w:rPr>
            </w:pPr>
            <w:r>
              <w:rPr>
                <w:rFonts w:hint="eastAsia" w:ascii="宋体" w:hAnsi="宋体" w:cs="宋体"/>
                <w:color w:val="auto"/>
                <w:kern w:val="0"/>
                <w:sz w:val="24"/>
                <w:szCs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34</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textAlignment w:val="auto"/>
              <w:outlineLvl w:val="9"/>
              <w:rPr>
                <w:rFonts w:ascii="宋体" w:hAnsi="宋体" w:cs="宋体"/>
                <w:color w:val="auto"/>
                <w:kern w:val="0"/>
                <w:sz w:val="24"/>
                <w:szCs w:val="24"/>
              </w:rPr>
            </w:pPr>
            <w:r>
              <w:rPr>
                <w:rFonts w:hint="eastAsia" w:ascii="宋体" w:hAnsi="宋体" w:cs="宋体"/>
                <w:color w:val="auto"/>
                <w:kern w:val="0"/>
                <w:sz w:val="24"/>
                <w:szCs w:val="24"/>
              </w:rPr>
              <w:t>法律、法规、规章、规范性文件、行业公约规定可以记入良好信用信息的其他信息</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1-</w:t>
            </w:r>
            <w:r>
              <w:rPr>
                <w:rFonts w:ascii="宋体" w:hAnsi="宋体" w:cs="宋体"/>
                <w:color w:val="auto"/>
                <w:kern w:val="0"/>
                <w:sz w:val="24"/>
                <w:szCs w:val="24"/>
              </w:rPr>
              <w:t>3</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6" w:hRule="atLeast"/>
          <w:jc w:val="center"/>
        </w:trPr>
        <w:tc>
          <w:tcPr>
            <w:tcW w:w="9580" w:type="dxa"/>
            <w:gridSpan w:val="3"/>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hint="eastAsia" w:ascii="宋体" w:hAnsi="宋体" w:cs="宋体"/>
                <w:color w:val="auto"/>
                <w:kern w:val="0"/>
                <w:sz w:val="24"/>
                <w:szCs w:val="24"/>
              </w:rPr>
            </w:pPr>
            <w:r>
              <w:rPr>
                <w:rFonts w:ascii="宋体" w:hAnsi="宋体" w:cs="宋体"/>
                <w:bCs/>
                <w:color w:val="auto"/>
                <w:kern w:val="0"/>
                <w:sz w:val="24"/>
                <w:szCs w:val="24"/>
              </w:rPr>
              <w:t xml:space="preserve"> </w:t>
            </w:r>
            <w:r>
              <w:rPr>
                <w:rFonts w:hint="eastAsia" w:ascii="宋体" w:hAnsi="宋体" w:cs="宋体"/>
                <w:bCs/>
                <w:color w:val="auto"/>
                <w:kern w:val="0"/>
                <w:sz w:val="24"/>
                <w:szCs w:val="24"/>
              </w:rPr>
              <w:t>备注</w:t>
            </w:r>
            <w:r>
              <w:rPr>
                <w:rFonts w:hint="eastAsia" w:ascii="宋体" w:hAnsi="宋体" w:cs="宋体"/>
                <w:color w:val="auto"/>
                <w:kern w:val="0"/>
                <w:sz w:val="24"/>
                <w:szCs w:val="24"/>
              </w:rPr>
              <w:t>：</w:t>
            </w:r>
            <w:r>
              <w:rPr>
                <w:rFonts w:ascii="宋体" w:hAnsi="宋体" w:cs="宋体"/>
                <w:color w:val="auto"/>
                <w:kern w:val="0"/>
                <w:sz w:val="24"/>
                <w:szCs w:val="24"/>
              </w:rPr>
              <w:t>1</w:t>
            </w:r>
            <w:r>
              <w:rPr>
                <w:rFonts w:hint="eastAsia" w:ascii="宋体" w:hAnsi="宋体" w:cs="宋体"/>
                <w:color w:val="auto"/>
                <w:kern w:val="0"/>
                <w:sz w:val="24"/>
                <w:szCs w:val="24"/>
              </w:rPr>
              <w:t>、广场、道路、园林（包括绿化养护、卫生保洁、秩序维护、设施设备维护等二项以上）的公共物业服务项目，其接管物业服务建筑面积</w:t>
            </w:r>
            <w:r>
              <w:rPr>
                <w:rFonts w:ascii="宋体" w:hAnsi="宋体" w:cs="宋体"/>
                <w:color w:val="auto"/>
                <w:kern w:val="0"/>
                <w:sz w:val="24"/>
                <w:szCs w:val="24"/>
              </w:rPr>
              <w:t>=</w:t>
            </w:r>
            <w:r>
              <w:rPr>
                <w:rFonts w:hint="eastAsia" w:ascii="宋体" w:hAnsi="宋体" w:cs="宋体"/>
                <w:color w:val="auto"/>
                <w:kern w:val="0"/>
                <w:sz w:val="24"/>
                <w:szCs w:val="24"/>
              </w:rPr>
              <w:t>占地面积×</w:t>
            </w:r>
            <w:r>
              <w:rPr>
                <w:rFonts w:ascii="宋体" w:hAnsi="宋体" w:cs="宋体"/>
                <w:color w:val="auto"/>
                <w:kern w:val="0"/>
                <w:sz w:val="24"/>
                <w:szCs w:val="24"/>
              </w:rPr>
              <w:t>20%</w:t>
            </w:r>
            <w:r>
              <w:rPr>
                <w:rFonts w:hint="eastAsia" w:ascii="宋体" w:hAnsi="宋体" w:cs="宋体"/>
                <w:color w:val="auto"/>
                <w:kern w:val="0"/>
                <w:sz w:val="24"/>
                <w:szCs w:val="24"/>
              </w:rPr>
              <w:t>。</w:t>
            </w:r>
          </w:p>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2、良好信用记录有效期为1年，表彰、奖励文件有规定的从其规定，良好信用记录同一事项以获得的最高奖励标准计分一次；除本标准有规定外，企业所管不同项目、不同人员因同一事项获得的表彰奖励加分最多计2次。</w:t>
            </w:r>
          </w:p>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3、在管项目全部被评为四星级以上且无其他提示、警示信用记录的物业企业，即视为达到信用</w:t>
            </w:r>
            <w:r>
              <w:rPr>
                <w:rFonts w:ascii="宋体" w:hAnsi="宋体" w:cs="宋体"/>
                <w:color w:val="auto"/>
                <w:kern w:val="0"/>
                <w:sz w:val="24"/>
                <w:szCs w:val="24"/>
              </w:rPr>
              <w:t>A</w:t>
            </w:r>
            <w:r>
              <w:rPr>
                <w:rFonts w:hint="eastAsia" w:ascii="宋体" w:hAnsi="宋体" w:cs="宋体"/>
                <w:color w:val="auto"/>
                <w:kern w:val="0"/>
                <w:sz w:val="24"/>
                <w:szCs w:val="24"/>
              </w:rPr>
              <w:t>级条件。在管项目全部被评为三星以上的物业企业，无其他提示、警示信息的，即视为达到信用</w:t>
            </w:r>
            <w:r>
              <w:rPr>
                <w:rFonts w:ascii="宋体" w:hAnsi="宋体" w:cs="宋体"/>
                <w:color w:val="auto"/>
                <w:kern w:val="0"/>
                <w:sz w:val="24"/>
                <w:szCs w:val="24"/>
              </w:rPr>
              <w:t>B</w:t>
            </w:r>
            <w:r>
              <w:rPr>
                <w:rFonts w:hint="eastAsia" w:ascii="宋体" w:hAnsi="宋体" w:cs="宋体"/>
                <w:color w:val="auto"/>
                <w:kern w:val="0"/>
                <w:sz w:val="24"/>
                <w:szCs w:val="24"/>
              </w:rPr>
              <w:t>级条件。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580" w:type="dxa"/>
            <w:gridSpan w:val="3"/>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扣分信用信息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序列</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具体指标</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未执行《湖南省物业服务行业项目负责（经理）人制度》的记录（每出现一例扣1分，扣完为止）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在管物业服务项目，未按《湖南省物业项目服务质量等级（星级）管理办法》申报星级评定的记录（每出现一例扣1分，扣完为止）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企业专职管理技术人员未按相关规定参加房地产行政主管部门指导的行业组织开展的业务研讨学习的（每出现一例扣1分，扣完为止）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4</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企业主要负责人或项目负责人上年度信用状况被房地产行政主管部门指导的省级房地产行业组织评为信用较差的（每出现一人扣1分，扣完为止）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5</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不按要求参加各级房地产行政主管部门及其指导的行业组织开展的重要会议、重大活动的（每出现一例扣2分，扣完为止）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6</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不配合房地产行政主管部门指导的行业组织开展行业自律检查工作的（每出现一例扣5分，扣完为止）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7</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企业对投诉和信访事件，未按各级房地产行政主管部门和房地产行政主管部门指导的行业组织要求进行及时有效解决的（每出现一例扣3分，扣完为止）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8</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违反房地产行政主管部门指导的行业组织制定的行业组织章程、行业公约、未按要求履行会员义务的（每出现一例扣5分，扣完为止）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9</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w w:val="98"/>
                <w:sz w:val="24"/>
                <w:szCs w:val="24"/>
              </w:rPr>
              <w:t>未如实在湖南省房地产市场监管平台或湖南省房地产行业组织信用管理平台申报数据半年以内的（含半年，按月报计算，每出现一期扣1分，扣完为止）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物业服务项目负责人及企业专职管理技术人员未在湖南省房地产市场监管平台或湖南省房地产行业组织信用信息平台登记备案，或劳动关系发生变动时，未及时更新信息，办理变更手续的（每出现一例扣1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11</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w w:val="98"/>
                <w:sz w:val="24"/>
                <w:szCs w:val="24"/>
              </w:rPr>
              <w:t>未按时在湖南省房地产市场监管平台或湖南省房地产行业组织信用管理平台申报数据半年以内的（含半年，按月报计算，每出现一期扣2分，扣完为止）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12</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企业办公地址、电话、股东、关联企业等重要信息发生变化，不及时在省房地产市场监管平台或湖南省房地产行业组织信用管理平台中予以相关信息变更的（每出现一例扣2分，扣完为止）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13</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物业服务项目负责人及企业专职管理技术人员出现兼职行为的（每出现一例扣2分，扣完为止）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14</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未按规定公开报修电话、投诉电话、办事制度、办事程序及办事期限、有偿服务项目与收费标准等的（每出现一例扣1分，扣完为止）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15</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收取服务报酬未出具收费凭证的（每出现一例扣1分，扣完为止）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16</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未建立并落实服务质量、服务收费等企业管理制度和标准（每出现一例扣1分，扣完为止）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17</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未按相关规定或者技术规范对共用部位、共用设施设备进行检测、养护的（每出现一例扣1分，扣完为止）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18</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在物业管理区域内，未依约履行物业公共秩序维护职责，导致一般消防事故、治安事件以及同一项目3次以上失窃事件等发生的（每出现一例扣2分，扣完为止）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19</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color w:val="auto"/>
                <w:sz w:val="24"/>
                <w:szCs w:val="24"/>
              </w:rPr>
            </w:pPr>
            <w:r>
              <w:rPr>
                <w:rFonts w:hint="eastAsia"/>
                <w:color w:val="auto"/>
                <w:sz w:val="24"/>
                <w:szCs w:val="24"/>
              </w:rPr>
              <w:t>因物业服务企业责任，导致物业共用部位损害严重的或者共用设施设备停止运行24小时以上的（每出现一例扣2分，扣完为止）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color w:val="auto"/>
                <w:sz w:val="24"/>
                <w:szCs w:val="24"/>
              </w:rPr>
            </w:pPr>
            <w:r>
              <w:rPr>
                <w:rFonts w:hint="eastAsia"/>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color w:val="auto"/>
                <w:sz w:val="24"/>
                <w:szCs w:val="24"/>
              </w:rPr>
            </w:pPr>
            <w:r>
              <w:rPr>
                <w:rFonts w:hint="eastAsia"/>
                <w:color w:val="auto"/>
                <w:sz w:val="24"/>
                <w:szCs w:val="24"/>
              </w:rPr>
              <w:t>未按合同约定，提供相关服务的（每出现一例扣2分，扣完为止）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color w:val="auto"/>
                <w:sz w:val="24"/>
                <w:szCs w:val="24"/>
              </w:rPr>
            </w:pPr>
            <w:r>
              <w:rPr>
                <w:rFonts w:hint="eastAsia"/>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21</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color w:val="auto"/>
                <w:sz w:val="24"/>
                <w:szCs w:val="24"/>
              </w:rPr>
            </w:pPr>
            <w:r>
              <w:rPr>
                <w:rFonts w:hint="eastAsia"/>
                <w:color w:val="auto"/>
                <w:sz w:val="24"/>
                <w:szCs w:val="24"/>
              </w:rPr>
              <w:t>对小区内违规装饰装修及其他违法违规行为制止不力，又不及时向相关部门汇报的（扣2分，扣完为止）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color w:val="auto"/>
                <w:sz w:val="24"/>
                <w:szCs w:val="24"/>
              </w:rPr>
            </w:pPr>
            <w:r>
              <w:rPr>
                <w:rFonts w:hint="eastAsia"/>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ascii="宋体" w:hAnsi="宋体" w:cs="宋体"/>
                <w:bCs/>
                <w:color w:val="auto"/>
                <w:kern w:val="0"/>
                <w:sz w:val="24"/>
                <w:szCs w:val="24"/>
              </w:rPr>
              <w:t>22</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color w:val="auto"/>
                <w:sz w:val="24"/>
                <w:szCs w:val="24"/>
              </w:rPr>
            </w:pPr>
            <w:r>
              <w:rPr>
                <w:rFonts w:hint="eastAsia"/>
                <w:color w:val="auto"/>
                <w:sz w:val="24"/>
                <w:szCs w:val="24"/>
              </w:rPr>
              <w:t>发生重大事件及安全事故时，未及时向有关部门报告，且未采取应急措施的（每出现一例扣2分，扣完为止）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color w:val="auto"/>
                <w:sz w:val="24"/>
                <w:szCs w:val="24"/>
              </w:rPr>
            </w:pPr>
            <w:r>
              <w:rPr>
                <w:rFonts w:hint="eastAsia"/>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hint="eastAsia" w:ascii="宋体" w:hAnsi="宋体" w:cs="宋体"/>
                <w:bCs/>
                <w:color w:val="auto"/>
                <w:kern w:val="0"/>
                <w:sz w:val="24"/>
                <w:szCs w:val="24"/>
              </w:rPr>
              <w:t>23</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color w:val="auto"/>
                <w:sz w:val="24"/>
                <w:szCs w:val="24"/>
              </w:rPr>
            </w:pPr>
            <w:r>
              <w:rPr>
                <w:rFonts w:hint="eastAsia"/>
                <w:color w:val="auto"/>
                <w:sz w:val="24"/>
                <w:szCs w:val="24"/>
              </w:rPr>
              <w:t>拖欠劳动报酬、社会保险、银行贷款、合同款等金额较少，但未经各级行政机关行政处罚、且无主观恶意的记录（每出现一例扣2分，扣完为止）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color w:val="auto"/>
                <w:sz w:val="24"/>
                <w:szCs w:val="24"/>
              </w:rPr>
            </w:pPr>
            <w:r>
              <w:rPr>
                <w:rFonts w:hint="eastAsia"/>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hint="eastAsia" w:ascii="宋体" w:hAnsi="宋体" w:cs="宋体"/>
                <w:bCs/>
                <w:color w:val="auto"/>
                <w:kern w:val="0"/>
                <w:sz w:val="24"/>
                <w:szCs w:val="24"/>
              </w:rPr>
              <w:t>24</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color w:val="auto"/>
                <w:sz w:val="24"/>
                <w:szCs w:val="24"/>
              </w:rPr>
            </w:pPr>
            <w:r>
              <w:rPr>
                <w:rFonts w:hint="eastAsia"/>
                <w:color w:val="auto"/>
                <w:sz w:val="24"/>
                <w:szCs w:val="24"/>
              </w:rPr>
              <w:t>未按各级政府要求组织实施应急救灾、重大疫情防控工作的（每出现一例扣5分，扣完为止）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color w:val="auto"/>
                <w:sz w:val="24"/>
                <w:szCs w:val="24"/>
              </w:rPr>
            </w:pPr>
            <w:r>
              <w:rPr>
                <w:rFonts w:hint="eastAsia"/>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hint="eastAsia" w:ascii="宋体" w:hAnsi="宋体" w:cs="宋体"/>
                <w:bCs/>
                <w:color w:val="auto"/>
                <w:kern w:val="0"/>
                <w:sz w:val="24"/>
                <w:szCs w:val="24"/>
              </w:rPr>
              <w:t>25</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color w:val="auto"/>
                <w:sz w:val="24"/>
                <w:szCs w:val="24"/>
              </w:rPr>
            </w:pPr>
            <w:r>
              <w:rPr>
                <w:rFonts w:hint="eastAsia"/>
                <w:color w:val="auto"/>
                <w:sz w:val="24"/>
                <w:szCs w:val="24"/>
              </w:rPr>
              <w:t>发生违规行为被非主管行政机关适用一般程序处罚但及时予以整改的记录（每出现一例扣5分，扣完为止）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color w:val="auto"/>
                <w:sz w:val="24"/>
                <w:szCs w:val="24"/>
              </w:rPr>
            </w:pPr>
            <w:r>
              <w:rPr>
                <w:rFonts w:hint="eastAsia"/>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Cs/>
                <w:color w:val="auto"/>
                <w:kern w:val="0"/>
                <w:sz w:val="24"/>
                <w:szCs w:val="24"/>
              </w:rPr>
            </w:pPr>
            <w:r>
              <w:rPr>
                <w:rFonts w:hint="eastAsia" w:ascii="宋体" w:hAnsi="宋体" w:cs="宋体"/>
                <w:bCs/>
                <w:color w:val="auto"/>
                <w:kern w:val="0"/>
                <w:sz w:val="24"/>
                <w:szCs w:val="24"/>
              </w:rPr>
              <w:t>26</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color w:val="auto"/>
                <w:sz w:val="24"/>
                <w:szCs w:val="24"/>
              </w:rPr>
            </w:pPr>
            <w:r>
              <w:rPr>
                <w:rFonts w:hint="eastAsia"/>
                <w:color w:val="auto"/>
                <w:sz w:val="24"/>
                <w:szCs w:val="24"/>
              </w:rPr>
              <w:t>其它未遵守相关规定，无主观意识且情节较轻的行为（每出现一例扣1-5分，扣完为止）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color w:val="auto"/>
                <w:sz w:val="24"/>
                <w:szCs w:val="24"/>
              </w:rPr>
            </w:pPr>
            <w:r>
              <w:rPr>
                <w:rFonts w:hint="eastAsia"/>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580" w:type="dxa"/>
            <w:gridSpan w:val="3"/>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提示信用信息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序列</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具体指标</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企业或企业法定代表人上年度被市州级以上房地产行政主管部门、房地产行政主管部门指导的本行业组织评定为信用较差的（每出现一例扣3分，扣完为止）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未按时在湖南省房地产市场监管平台或湖南省房地产行业组织信用管理平台申报数据半年以上的（按月报计算，每出现一期扣3分，扣完为止）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工商登记内容发生变更（含企业名称、工商注册号/统一社会信用代码、法定代表人、企业住所、企业注册资金等相关信息），在一个月内未及时通过省房地产市场监管平台申报变更登记的（每出现一例扣3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4</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在办理相关业务时，签定了承诺书而不履行承诺的（每出现一例扣3分，扣完为止）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5</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企业被税务机关认定为“非正常户”，并且该企业存在欠税、发票结存或稽查在案的记录（每出现一例扣3分，扣完为止）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6</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不依法签订或履行劳动合同、开展集体协商、签订和履行集体合同的记录（每出现一例扣3分，扣完为止）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7</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未有约定，预收物业服务费期限超过12个月的（每出现一例扣3分，扣完为止）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8</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未按规定或约定公布相关收支账目的（每出现一例扣3分，扣完为止）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9</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以业主未缴纳物业服务费为由，实施停水、停电，拆卸业主设施设备的（每出现一例扣3分，扣完为止）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干涉、阻扰、操纵业主筹备成立业主大会或者业主大会会议召开的（每出现一例扣5分，扣完为止）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11</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因物业服务企业责任，发生重大责任事故的（每出现一例扣5分，扣完为止）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12</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与物业管理招标人或者其他物业管理投标人相互串通，以不正当手段谋取中标的（每出现一例扣5分，扣完为止）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13</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在与物业管理招标人按照投标文件订立书面合同后，再订立背离合同实质性内容的其他协议的（每出现一例扣5分，扣完为止）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14</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擅自占用、挖掘物业管理区域内道路、场地，损害业主共同利益的（每出现一例扣5分，扣完为止）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15</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擅自利用物业共用部位、共用设施设备进行经营的（每出现一例扣5分，扣完为止）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16</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擅自改变业主的物业共用部位、共用设施设备及物业管理用房用途的（每出现一例扣5分，扣完为止）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17</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物业服务合同终止时，未按规定退出物业管理项目并做好物业管理相关移交工作的（每出现一例扣5分，扣完为止）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18</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未按要求通过招投标的方式接受物业服务委托或者未经批准，擅自采用协议方式接受物业服务委托的（每出现一例扣5分，扣完为止）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19</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企业不履行服务合同，不按有关规定，擅自撤离服务项目的（每出现一例扣5分，扣完为止）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20</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未及时到各级房地产行政主管部门办理验证、换证、备案、注销、撤销、变更等记录的（每出现一例扣5分，扣完为止）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21</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未按各级房地产行政主管部门要求实施相关标准、规范、措施等记录（每出现一例扣5分，扣完为止）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22</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发生一般产品质量安全或生产安全事故，经各级房地产行政主管部门、房地产行政主管部门指导的省级本行业组织认定的记录（每出现一例扣5分，扣完为止）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23</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 xml:space="preserve">受到较大数额罚款、没收违法所得、没收非法财务或被房地产行政主管部门责令停产停业等行政处罚的记录（每出现一例扣5分，扣完为止） </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24</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因违法行为被房地产行政主管部门适用一般程序处罚的记录（每出现一例扣5分，扣完为止）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25</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发生违法违规行为被非主管行政机关行政处罚的记录（每出现一例扣5分，扣完为止）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26</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违反行业法律、法规、规章、规范性文件、房地产行政主管部门指导的行业组织发布的行业公约规定可以计入提示信用信息的其他信息记录（每出现一例扣5分，扣完为止）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9580" w:type="dxa"/>
            <w:gridSpan w:val="3"/>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警示信用信息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序列</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具体指标</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b/>
                <w:bCs/>
                <w:color w:val="auto"/>
                <w:kern w:val="0"/>
                <w:sz w:val="24"/>
                <w:szCs w:val="24"/>
              </w:rPr>
            </w:pPr>
            <w:r>
              <w:rPr>
                <w:rFonts w:hint="eastAsia" w:ascii="宋体" w:hAnsi="宋体" w:cs="宋体"/>
                <w:b/>
                <w:bCs/>
                <w:color w:val="auto"/>
                <w:kern w:val="0"/>
                <w:sz w:val="24"/>
                <w:szCs w:val="24"/>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将一个物业管理区域内的全部物业管理业务一并委托给他人的（每出现一例扣10分，扣完为止）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2</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套取、挪用专项维修资金的（每出现一例扣10分，扣完为止）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物业服务合同依法终止后，未按规定退出物业管理项目，经相关部门协调，仍拒不退出或不移交相关资料的（每出现一例扣10分，扣完为止）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4</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未通过房地产行政主管部门依法进行的专项或者定期检验的记录（每出现一例扣10分，扣完为止）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5</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因违法行为被房地产行政主管部门撤销或者吊销许可证的记录（每出现一例扣10分，扣完为止）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6</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被房地产行政主管部门依法认定违法开展关联交易或者违规担保的记录（每出现一例扣10分，扣完为止）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7</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法院纳入失信被执行人名单的记录</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8</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被追究刑事责任的记录（每出现一例扣10分，扣完为止）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9</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在向房地产行政主管部门申请行政审批等事项以及公证和法律服务中提供虚假材料、弄虚作假的行为（每出现一例扣10分，扣完为止）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10</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在招投标活动中，有围标、串标等违法行为，受到行政机关处罚的记录（每出现一例扣10分，扣完为止）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11</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发生重大产品质量安全或生产安全事故的记录（每出现一例扣10分，扣完为止）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12</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企业被处以本行业禁入处罚的记录</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13</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利用非法手段获取公民、法人和其他组织的信息用于经营活动的记录（每出现一例扣10分，扣完为止）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14</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被市级以上人民政府或省级以上行政机关通报或曝光的记录（每出现一例扣10分，扣完为止）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15</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未及时履行法定责任或合同义务，发生较大及以上安全责任事故，造成业主或使用人群体持续上访的</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16</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不履行法定责任或合同义务，严重损害业主或使用人权益，造成业主或使用人群体持续上访的</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hint="eastAsia"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hint="eastAsia" w:ascii="宋体" w:hAnsi="宋体" w:cs="宋体"/>
                <w:color w:val="auto"/>
                <w:kern w:val="0"/>
                <w:sz w:val="24"/>
                <w:szCs w:val="24"/>
              </w:rPr>
              <w:t>17</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z w:val="24"/>
                <w:szCs w:val="24"/>
              </w:rPr>
              <w:t>拒不执行已生效司法裁决、行政处罚、行政强制的（每出现一例扣10分，扣完为止）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9"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w:t>
            </w:r>
            <w:r>
              <w:rPr>
                <w:rFonts w:hint="eastAsia" w:ascii="宋体" w:hAnsi="宋体" w:cs="宋体"/>
                <w:color w:val="auto"/>
                <w:kern w:val="0"/>
                <w:sz w:val="24"/>
                <w:szCs w:val="24"/>
              </w:rPr>
              <w:t>8</w:t>
            </w:r>
          </w:p>
        </w:tc>
        <w:tc>
          <w:tcPr>
            <w:tcW w:w="7973"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left"/>
              <w:textAlignment w:val="auto"/>
              <w:outlineLvl w:val="9"/>
              <w:rPr>
                <w:rFonts w:ascii="宋体" w:hAnsi="宋体" w:cs="宋体"/>
                <w:color w:val="auto"/>
                <w:kern w:val="0"/>
                <w:sz w:val="24"/>
                <w:szCs w:val="24"/>
              </w:rPr>
            </w:pPr>
            <w:r>
              <w:rPr>
                <w:rFonts w:hint="eastAsia" w:ascii="宋体" w:hAnsi="宋体" w:cs="宋体"/>
                <w:color w:val="auto"/>
                <w:kern w:val="0"/>
                <w:sz w:val="24"/>
                <w:szCs w:val="24"/>
              </w:rPr>
              <w:t>企业法定代表人或主要负责人及其他高级管理人员的下列失信信息的（每出现一例扣</w:t>
            </w:r>
            <w:r>
              <w:rPr>
                <w:rFonts w:ascii="宋体" w:hAnsi="宋体" w:cs="宋体"/>
                <w:color w:val="auto"/>
                <w:kern w:val="0"/>
                <w:sz w:val="24"/>
                <w:szCs w:val="24"/>
              </w:rPr>
              <w:t>10</w:t>
            </w:r>
            <w:r>
              <w:rPr>
                <w:rFonts w:hint="eastAsia" w:ascii="宋体" w:hAnsi="宋体" w:cs="宋体"/>
                <w:color w:val="auto"/>
                <w:kern w:val="0"/>
                <w:sz w:val="24"/>
                <w:szCs w:val="24"/>
              </w:rPr>
              <w:t>分，扣完为止）：</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1</w:t>
            </w:r>
            <w:r>
              <w:rPr>
                <w:rFonts w:hint="eastAsia" w:ascii="宋体" w:hAnsi="宋体" w:cs="宋体"/>
                <w:color w:val="auto"/>
                <w:kern w:val="0"/>
                <w:sz w:val="24"/>
                <w:szCs w:val="24"/>
              </w:rPr>
              <w:t>）正在被执行刑罚的；</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2</w:t>
            </w:r>
            <w:r>
              <w:rPr>
                <w:rFonts w:hint="eastAsia" w:ascii="宋体" w:hAnsi="宋体" w:cs="宋体"/>
                <w:color w:val="auto"/>
                <w:kern w:val="0"/>
                <w:sz w:val="24"/>
                <w:szCs w:val="24"/>
              </w:rPr>
              <w:t>）因犯罪被判处刑罚，执行期满未逾</w:t>
            </w:r>
            <w:r>
              <w:rPr>
                <w:rFonts w:ascii="宋体" w:hAnsi="宋体" w:cs="宋体"/>
                <w:color w:val="auto"/>
                <w:kern w:val="0"/>
                <w:sz w:val="24"/>
                <w:szCs w:val="24"/>
              </w:rPr>
              <w:t>5</w:t>
            </w:r>
            <w:r>
              <w:rPr>
                <w:rFonts w:hint="eastAsia" w:ascii="宋体" w:hAnsi="宋体" w:cs="宋体"/>
                <w:color w:val="auto"/>
                <w:kern w:val="0"/>
                <w:sz w:val="24"/>
                <w:szCs w:val="24"/>
              </w:rPr>
              <w:t>年的；</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3</w:t>
            </w:r>
            <w:r>
              <w:rPr>
                <w:rFonts w:hint="eastAsia" w:ascii="宋体" w:hAnsi="宋体" w:cs="宋体"/>
                <w:color w:val="auto"/>
                <w:kern w:val="0"/>
                <w:sz w:val="24"/>
                <w:szCs w:val="24"/>
              </w:rPr>
              <w:t>）担任因经营不善破产清算的企业法定代表人或主要负责人，并对该企业破产负有个人责任，自该企业破产清算完结之日起未满</w:t>
            </w:r>
            <w:r>
              <w:rPr>
                <w:rFonts w:ascii="宋体" w:hAnsi="宋体" w:cs="宋体"/>
                <w:color w:val="auto"/>
                <w:kern w:val="0"/>
                <w:sz w:val="24"/>
                <w:szCs w:val="24"/>
              </w:rPr>
              <w:t>3</w:t>
            </w:r>
            <w:r>
              <w:rPr>
                <w:rFonts w:hint="eastAsia" w:ascii="宋体" w:hAnsi="宋体" w:cs="宋体"/>
                <w:color w:val="auto"/>
                <w:kern w:val="0"/>
                <w:sz w:val="24"/>
                <w:szCs w:val="24"/>
              </w:rPr>
              <w:t>年的；</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4</w:t>
            </w:r>
            <w:r>
              <w:rPr>
                <w:rFonts w:hint="eastAsia" w:ascii="宋体" w:hAnsi="宋体" w:cs="宋体"/>
                <w:color w:val="auto"/>
                <w:kern w:val="0"/>
                <w:sz w:val="24"/>
                <w:szCs w:val="24"/>
              </w:rPr>
              <w:t>）担任因违法被吊销营业执照的企业法定代表人或主要负责人，并负有个人责任，自该企业被吊销营业执照之日起未满</w:t>
            </w:r>
            <w:r>
              <w:rPr>
                <w:rFonts w:ascii="宋体" w:hAnsi="宋体" w:cs="宋体"/>
                <w:color w:val="auto"/>
                <w:kern w:val="0"/>
                <w:sz w:val="24"/>
                <w:szCs w:val="24"/>
              </w:rPr>
              <w:t>3</w:t>
            </w:r>
            <w:r>
              <w:rPr>
                <w:rFonts w:hint="eastAsia" w:ascii="宋体" w:hAnsi="宋体" w:cs="宋体"/>
                <w:color w:val="auto"/>
                <w:kern w:val="0"/>
                <w:sz w:val="24"/>
                <w:szCs w:val="24"/>
              </w:rPr>
              <w:t>年的；</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5</w:t>
            </w:r>
            <w:r>
              <w:rPr>
                <w:rFonts w:hint="eastAsia" w:ascii="宋体" w:hAnsi="宋体" w:cs="宋体"/>
                <w:color w:val="auto"/>
                <w:kern w:val="0"/>
                <w:sz w:val="24"/>
                <w:szCs w:val="24"/>
              </w:rPr>
              <w:t>）被处以行业禁入处罚，禁入期限届满后未满</w:t>
            </w:r>
            <w:r>
              <w:rPr>
                <w:rFonts w:ascii="宋体" w:hAnsi="宋体" w:cs="宋体"/>
                <w:color w:val="auto"/>
                <w:kern w:val="0"/>
                <w:sz w:val="24"/>
                <w:szCs w:val="24"/>
              </w:rPr>
              <w:t>3</w:t>
            </w:r>
            <w:r>
              <w:rPr>
                <w:rFonts w:hint="eastAsia" w:ascii="宋体" w:hAnsi="宋体" w:cs="宋体"/>
                <w:color w:val="auto"/>
                <w:kern w:val="0"/>
                <w:sz w:val="24"/>
                <w:szCs w:val="24"/>
              </w:rPr>
              <w:t>年的；</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6</w:t>
            </w:r>
            <w:r>
              <w:rPr>
                <w:rFonts w:hint="eastAsia" w:ascii="宋体" w:hAnsi="宋体" w:cs="宋体"/>
                <w:color w:val="auto"/>
                <w:kern w:val="0"/>
                <w:sz w:val="24"/>
                <w:szCs w:val="24"/>
              </w:rPr>
              <w:t>）企业存在未执结的债务，根据当事人的申请，人民法院作出限制其法定代表人或主要负责人及其他高级管理人员出境的；</w:t>
            </w:r>
            <w:r>
              <w:rPr>
                <w:rFonts w:ascii="宋体" w:hAnsi="宋体" w:cs="宋体"/>
                <w:color w:val="auto"/>
                <w:kern w:val="0"/>
                <w:sz w:val="24"/>
                <w:szCs w:val="24"/>
              </w:rPr>
              <w:br w:type="textWrapping"/>
            </w:r>
            <w:r>
              <w:rPr>
                <w:rFonts w:hint="eastAsia" w:ascii="宋体" w:hAnsi="宋体" w:cs="宋体"/>
                <w:color w:val="auto"/>
                <w:kern w:val="0"/>
                <w:sz w:val="24"/>
                <w:szCs w:val="24"/>
              </w:rPr>
              <w:t>　　（</w:t>
            </w:r>
            <w:r>
              <w:rPr>
                <w:rFonts w:ascii="宋体" w:hAnsi="宋体" w:cs="宋体"/>
                <w:color w:val="auto"/>
                <w:kern w:val="0"/>
                <w:sz w:val="24"/>
                <w:szCs w:val="24"/>
              </w:rPr>
              <w:t>7</w:t>
            </w:r>
            <w:r>
              <w:rPr>
                <w:rFonts w:hint="eastAsia" w:ascii="宋体" w:hAnsi="宋体" w:cs="宋体"/>
                <w:color w:val="auto"/>
                <w:kern w:val="0"/>
                <w:sz w:val="24"/>
                <w:szCs w:val="24"/>
              </w:rPr>
              <w:t>）法律、法规、规章等规定的其他情形。</w:t>
            </w:r>
          </w:p>
        </w:tc>
        <w:tc>
          <w:tcPr>
            <w:tcW w:w="886"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30</w:t>
            </w:r>
            <w:r>
              <w:rPr>
                <w:rFonts w:hint="eastAsia" w:ascii="宋体" w:hAnsi="宋体" w:cs="宋体"/>
                <w:color w:val="auto"/>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jc w:val="center"/>
        </w:trPr>
        <w:tc>
          <w:tcPr>
            <w:tcW w:w="721" w:type="dxa"/>
            <w:noWrap w:val="0"/>
            <w:vAlign w:val="center"/>
          </w:tcPr>
          <w:p>
            <w:pPr>
              <w:keepNext w:val="0"/>
              <w:keepLines w:val="0"/>
              <w:pageBreakBefore w:val="0"/>
              <w:widowControl/>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s="宋体"/>
                <w:color w:val="auto"/>
                <w:kern w:val="0"/>
                <w:sz w:val="24"/>
                <w:szCs w:val="24"/>
              </w:rPr>
            </w:pPr>
            <w:r>
              <w:rPr>
                <w:rFonts w:ascii="宋体" w:hAnsi="宋体" w:cs="宋体"/>
                <w:color w:val="auto"/>
                <w:kern w:val="0"/>
                <w:sz w:val="24"/>
                <w:szCs w:val="24"/>
              </w:rPr>
              <w:t>1</w:t>
            </w:r>
            <w:r>
              <w:rPr>
                <w:rFonts w:hint="eastAsia" w:ascii="宋体" w:hAnsi="宋体" w:cs="宋体"/>
                <w:color w:val="auto"/>
                <w:kern w:val="0"/>
                <w:sz w:val="24"/>
                <w:szCs w:val="24"/>
              </w:rPr>
              <w:t>9</w:t>
            </w:r>
          </w:p>
        </w:tc>
        <w:tc>
          <w:tcPr>
            <w:tcW w:w="7973" w:type="dxa"/>
            <w:noWrap w:val="0"/>
            <w:vAlign w:val="top"/>
          </w:tcPr>
          <w:p>
            <w:pPr>
              <w:keepNext w:val="0"/>
              <w:keepLines w:val="0"/>
              <w:pageBreakBefore w:val="0"/>
              <w:kinsoku/>
              <w:wordWrap/>
              <w:overflowPunct/>
              <w:topLinePunct w:val="0"/>
              <w:autoSpaceDE/>
              <w:autoSpaceDN/>
              <w:bidi w:val="0"/>
              <w:adjustRightInd/>
              <w:snapToGrid/>
              <w:spacing w:line="440" w:lineRule="exact"/>
              <w:ind w:left="0" w:leftChars="0" w:right="0" w:rightChars="0"/>
              <w:textAlignment w:val="auto"/>
              <w:outlineLvl w:val="9"/>
              <w:rPr>
                <w:rFonts w:hint="eastAsia" w:ascii="宋体" w:hAnsi="宋体"/>
                <w:color w:val="auto"/>
                <w:sz w:val="24"/>
                <w:szCs w:val="24"/>
              </w:rPr>
            </w:pPr>
            <w:r>
              <w:rPr>
                <w:rFonts w:hint="eastAsia" w:ascii="宋体" w:hAnsi="宋体"/>
                <w:color w:val="auto"/>
                <w:spacing w:val="0"/>
                <w:w w:val="93"/>
                <w:sz w:val="24"/>
                <w:szCs w:val="24"/>
              </w:rPr>
              <w:t>法律、法规、规章、规范性文件、房地产行政主管部门指导的行业组织发布的行业公约规定可以记入警示信用信息的其他信息（每出现一例扣15分，扣完为止）</w:t>
            </w:r>
          </w:p>
        </w:tc>
        <w:tc>
          <w:tcPr>
            <w:tcW w:w="886" w:type="dxa"/>
            <w:noWrap w:val="0"/>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jc w:val="center"/>
              <w:textAlignment w:val="auto"/>
              <w:outlineLvl w:val="9"/>
              <w:rPr>
                <w:rFonts w:ascii="宋体" w:hAnsi="宋体"/>
                <w:color w:val="auto"/>
                <w:sz w:val="24"/>
                <w:szCs w:val="24"/>
              </w:rPr>
            </w:pPr>
            <w:r>
              <w:rPr>
                <w:rFonts w:hint="eastAsia" w:ascii="宋体" w:hAnsi="宋体"/>
                <w:color w:val="auto"/>
                <w:sz w:val="24"/>
                <w:szCs w:val="24"/>
              </w:rPr>
              <w:t>30分</w:t>
            </w:r>
          </w:p>
        </w:tc>
      </w:tr>
    </w:tbl>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宋体" w:hAnsi="宋体"/>
          <w:sz w:val="24"/>
          <w:szCs w:val="24"/>
        </w:rPr>
      </w:pPr>
      <w:r>
        <w:rPr>
          <w:rFonts w:hint="eastAsia" w:ascii="宋体" w:hAnsi="宋体"/>
          <w:sz w:val="24"/>
          <w:szCs w:val="24"/>
        </w:rPr>
        <w:t>备注：1、扣分信用记录有效期为1年，相关文件有规定的从其规定。</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720" w:firstLineChars="300"/>
        <w:textAlignment w:val="auto"/>
        <w:outlineLvl w:val="9"/>
        <w:rPr>
          <w:rFonts w:hint="eastAsia" w:ascii="宋体" w:hAnsi="宋体"/>
          <w:sz w:val="24"/>
          <w:szCs w:val="24"/>
        </w:rPr>
      </w:pPr>
      <w:r>
        <w:rPr>
          <w:rFonts w:hint="eastAsia" w:ascii="宋体" w:hAnsi="宋体"/>
          <w:sz w:val="24"/>
          <w:szCs w:val="24"/>
        </w:rPr>
        <w:t>2、提示信用记录有效期为3年，警示信用记录有效期为5年，法律法规另有规定的从其规定；提示信用记录和警示信用记录的计分期限，自该信用记录被首次披露之日起计算。</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720" w:firstLineChars="300"/>
        <w:textAlignment w:val="auto"/>
        <w:outlineLvl w:val="9"/>
      </w:pPr>
      <w:r>
        <w:rPr>
          <w:rFonts w:hint="eastAsia" w:ascii="宋体" w:hAnsi="宋体"/>
          <w:sz w:val="24"/>
          <w:szCs w:val="24"/>
        </w:rPr>
        <w:t>3、提示信用记录和警示信用记录属于可修复的，可以通过实质性整改措施进行修复，经原提供单位审核认可后，可以缩短其计分期限，但计分期限最短不能少于1年。</w:t>
      </w:r>
      <w:bookmarkStart w:id="0" w:name="_GoBack"/>
      <w:bookmarkEnd w:id="0"/>
    </w:p>
    <w:sectPr>
      <w:pgSz w:w="11906" w:h="16838"/>
      <w:pgMar w:top="1814" w:right="1587" w:bottom="1814" w:left="1587" w:header="851" w:footer="992" w:gutter="0"/>
      <w:paperSrc/>
      <w:cols w:space="0" w:num="1"/>
      <w:rtlGutter w:val="0"/>
      <w:docGrid w:type="lines" w:linePitch="44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2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F84B5B"/>
    <w:rsid w:val="33F84B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宋体" w:hAnsi="宋体" w:cs="宋体"/>
      <w:kern w:val="0"/>
      <w:sz w:val="24"/>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2020-03-30T03:01:00Z</dcterms:created>
  <dc:creator>Administrator</dc:creator>
  <cp:lastModifiedBy>Administrator</cp:lastModifiedBy>
  <dcterms:modified xsi:type="dcterms:W3CDTF">2020-03-30T03:08:55Z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